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360" w:lineRule="auto"/>
        <w:jc w:val="distribute"/>
        <w:rPr>
          <w:rFonts w:hint="eastAsia" w:ascii="黑体" w:hAnsi="黑体" w:eastAsia="黑体"/>
          <w:b/>
          <w:color w:val="FF0000"/>
          <w:w w:val="50"/>
          <w:sz w:val="144"/>
          <w:szCs w:val="144"/>
        </w:rPr>
      </w:pPr>
      <w:r>
        <w:rPr>
          <w:rFonts w:hint="eastAsia" w:ascii="黑体" w:hAnsi="黑体" w:eastAsia="黑体"/>
          <w:b/>
          <w:color w:val="FF0000"/>
          <w:w w:val="50"/>
          <w:sz w:val="144"/>
          <w:szCs w:val="144"/>
        </w:rPr>
        <w:t>《中国企业报》集团</w:t>
      </w:r>
    </w:p>
    <w:p>
      <w:pPr>
        <w:autoSpaceDN w:val="0"/>
        <w:rPr>
          <w:rFonts w:hint="eastAsia" w:ascii="方正小标宋简体" w:hAnsi="方正小标宋简体" w:eastAsia="方正小标宋简体" w:cs="方正小标宋简体"/>
          <w:b/>
          <w:bCs/>
          <w:spacing w:val="7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22860</wp:posOffset>
                </wp:positionV>
                <wp:extent cx="5329555" cy="5080"/>
                <wp:effectExtent l="0" t="19050" r="24130" b="336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9238" cy="4763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5pt;margin-top:1.8pt;height:0.4pt;width:419.65pt;z-index:251659264;mso-width-relative:page;mso-height-relative:page;" filled="f" stroked="t" coordsize="21600,21600" o:gfxdata="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pB7ME2AAAAAUBAAAPAAAAAAAAAAEAIAAAADgAAABkcnMvZG93&#10;bnJldi54bWxQSwECFAAUAAAACACHTuJAVFYhvOoBAACuAwAADgAAAAAAAAABACAAAAA9AQAAZHJz&#10;L2Uyb0RvYy54bWxQSwUGAAAAAAYABgBZAQAAm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utoSpaceDN w:val="0"/>
        <w:jc w:val="center"/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36"/>
          <w:szCs w:val="36"/>
        </w:rPr>
        <w:t>关于开展“食品健康企业新质生产力发展标杆案例”征集活动的通知</w:t>
      </w:r>
    </w:p>
    <w:p>
      <w:pPr>
        <w:pStyle w:val="4"/>
        <w:spacing w:before="0" w:beforeAutospacing="0" w:after="0" w:afterAutospacing="0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pStyle w:val="4"/>
        <w:spacing w:before="0" w:beforeAutospacing="0" w:after="0" w:afterAutospacing="0"/>
        <w:jc w:val="both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各相关单位：</w:t>
      </w:r>
    </w:p>
    <w:p>
      <w:pPr>
        <w:pStyle w:val="4"/>
        <w:spacing w:before="0" w:beforeAutospacing="0" w:after="0" w:afterAutospacing="0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贯彻习近平总书记关于发展新质生产力的重要论述，聚焦食品健康产业高质量发展需求，挖掘行业创新实践，现面向全国食品健康领域制造型企业开展“食品健康企业新质生产力发展标杆案例”征集活动。具体通知如下：</w:t>
      </w:r>
    </w:p>
    <w:p>
      <w:pPr>
        <w:pStyle w:val="4"/>
        <w:numPr>
          <w:ilvl w:val="0"/>
          <w:numId w:val="1"/>
        </w:numPr>
        <w:spacing w:beforeAutospacing="0" w:afterAutospacing="0"/>
        <w:jc w:val="both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主办单位</w:t>
      </w:r>
    </w:p>
    <w:p>
      <w:pPr>
        <w:pStyle w:val="4"/>
        <w:spacing w:beforeAutospacing="0" w:afterAutospacing="0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《中国企业报》集团</w:t>
      </w:r>
    </w:p>
    <w:p>
      <w:pPr>
        <w:pStyle w:val="4"/>
        <w:spacing w:beforeAutospacing="0" w:afterAutospacing="0"/>
        <w:ind w:firstLine="641" w:firstLineChars="200"/>
        <w:jc w:val="both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二、征集时间</w:t>
      </w:r>
    </w:p>
    <w:p>
      <w:pPr>
        <w:pStyle w:val="4"/>
        <w:spacing w:beforeAutospacing="0" w:afterAutospacing="0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2025年3月1日至2025年4月20日（第一批）</w:t>
      </w:r>
    </w:p>
    <w:p>
      <w:pPr>
        <w:pStyle w:val="4"/>
        <w:spacing w:beforeAutospacing="0" w:afterAutospacing="0"/>
        <w:ind w:firstLine="641" w:firstLineChars="200"/>
        <w:jc w:val="both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三、征集范围及内容要求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本案例征集面向食品健康领域全国企业、科研机构，重点征集：</w:t>
      </w:r>
      <w:r>
        <w:rPr>
          <w:rFonts w:hint="eastAsia" w:ascii="楷体_GB2312" w:eastAsia="楷体_GB2312"/>
          <w:b/>
          <w:bCs/>
          <w:sz w:val="32"/>
          <w:szCs w:val="32"/>
        </w:rPr>
        <w:t>（1）科技创新驱动：</w:t>
      </w:r>
      <w:r>
        <w:rPr>
          <w:rFonts w:hint="eastAsia" w:ascii="仿宋_GB2312" w:eastAsia="仿宋_GB2312"/>
          <w:sz w:val="32"/>
          <w:szCs w:val="32"/>
        </w:rPr>
        <w:t>智能工厂建设（如AI质检、数字孪生车间）；生物制造技术应用（合成生物学、酶工程）；功能性食品研发与产业化（益生菌、精准营养）。</w:t>
      </w:r>
      <w:r>
        <w:rPr>
          <w:rFonts w:hint="eastAsia" w:ascii="楷体_GB2312" w:eastAsia="楷体_GB2312"/>
          <w:b/>
          <w:bCs/>
          <w:sz w:val="32"/>
          <w:szCs w:val="32"/>
        </w:rPr>
        <w:t>（2）绿色低碳转型：</w:t>
      </w:r>
      <w:r>
        <w:rPr>
          <w:rFonts w:hint="eastAsia" w:ascii="仿宋_GB2312" w:eastAsia="仿宋_GB2312"/>
          <w:sz w:val="32"/>
          <w:szCs w:val="32"/>
        </w:rPr>
        <w:t>低碳生产工艺（零碳包装、节能设备）；循环经济实践（废弃物资源化利用）。</w:t>
      </w:r>
      <w:r>
        <w:rPr>
          <w:rFonts w:hint="eastAsia" w:ascii="楷体_GB2312" w:eastAsia="楷体_GB2312"/>
          <w:b/>
          <w:bCs/>
          <w:sz w:val="32"/>
          <w:szCs w:val="32"/>
        </w:rPr>
        <w:t>（3）可持续供应链管理：</w:t>
      </w:r>
      <w:r>
        <w:rPr>
          <w:rFonts w:hint="eastAsia" w:ascii="仿宋_GB2312" w:eastAsia="仿宋_GB2312"/>
          <w:sz w:val="32"/>
          <w:szCs w:val="32"/>
        </w:rPr>
        <w:t>数智化升级；智慧供应链体系（区块链溯源、冷链物流数字化）；消费者数据驱动的产品创新；工业互联网平台建设。</w:t>
      </w:r>
      <w:r>
        <w:rPr>
          <w:rFonts w:hint="eastAsia" w:ascii="楷体_GB2312" w:eastAsia="楷体_GB2312"/>
          <w:b/>
          <w:bCs/>
          <w:sz w:val="32"/>
          <w:szCs w:val="32"/>
        </w:rPr>
        <w:t>（4）健康模式创新：</w:t>
      </w:r>
      <w:r>
        <w:rPr>
          <w:rFonts w:hint="eastAsia" w:ascii="仿宋_GB2312" w:eastAsia="仿宋_GB2312"/>
          <w:sz w:val="32"/>
          <w:szCs w:val="32"/>
        </w:rPr>
        <w:t>代餐/特殊医学用途配方食品开发；智能健康检测设备融合；个性化营养服务体系建设。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1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Style w:val="7"/>
          <w:rFonts w:hint="eastAsia"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重点关注：</w:t>
      </w:r>
      <w:r>
        <w:rPr>
          <w:rFonts w:hint="eastAsia" w:ascii="仿宋_GB2312" w:eastAsia="仿宋_GB2312"/>
          <w:sz w:val="32"/>
          <w:szCs w:val="32"/>
        </w:rPr>
        <w:t>企业在推进科技与模式创新、培养新型劳动者、形成新质劳动资料、拓展新型劳动对象、要素优化组合等方面的鲜明特色等。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1" w:firstLineChars="200"/>
        <w:jc w:val="both"/>
        <w:textAlignment w:val="auto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四、申报方式及要求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1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Hans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1.案例申报：</w:t>
      </w:r>
      <w:r>
        <w:rPr>
          <w:rFonts w:hint="eastAsia" w:ascii="仿宋_GB2312" w:eastAsia="仿宋_GB2312"/>
          <w:sz w:val="32"/>
          <w:szCs w:val="32"/>
        </w:rPr>
        <w:t>填写《2025食品健康企业新质生产力标杆案例申报表》</w:t>
      </w:r>
      <w:r>
        <w:rPr>
          <w:rFonts w:hint="eastAsia" w:ascii="仿宋_GB2312" w:eastAsia="仿宋_GB2312"/>
          <w:sz w:val="32"/>
          <w:szCs w:val="32"/>
          <w:lang w:eastAsia="zh-Hans"/>
        </w:rPr>
        <w:t>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1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2.报送方式：</w:t>
      </w:r>
      <w:r>
        <w:rPr>
          <w:rFonts w:hint="eastAsia" w:ascii="仿宋_GB2312" w:eastAsia="仿宋_GB2312"/>
          <w:sz w:val="32"/>
          <w:szCs w:val="32"/>
        </w:rPr>
        <w:t>将申报材料电子版及加盖单位公章扫描件报送至</w:t>
      </w:r>
      <w:r>
        <w:rPr>
          <w:rFonts w:hint="eastAsia" w:ascii="仿宋_GB2312" w:eastAsia="仿宋_GB2312"/>
          <w:sz w:val="32"/>
          <w:szCs w:val="32"/>
          <w:lang w:eastAsia="zh-Hans"/>
        </w:rPr>
        <w:t>新质生产力发展峰会</w:t>
      </w:r>
      <w:r>
        <w:rPr>
          <w:rFonts w:hint="eastAsia" w:ascii="仿宋_GB2312" w:eastAsia="仿宋_GB2312"/>
          <w:sz w:val="32"/>
          <w:szCs w:val="32"/>
        </w:rPr>
        <w:t>秘书处指定案例申报邮箱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fldChar w:fldCharType="begin"/>
      </w:r>
      <w:r>
        <w:instrText xml:space="preserve"> HYPERLINK "mailto:zhongtaimishuchu@zqcn.com.cn" </w:instrText>
      </w:r>
      <w:r>
        <w:fldChar w:fldCharType="separate"/>
      </w:r>
      <w:r>
        <w:rPr>
          <w:rStyle w:val="8"/>
          <w:rFonts w:hint="eastAsia" w:ascii="仿宋_GB2312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zhongtaimishuchu@zqcn.com.cn</w:t>
      </w:r>
      <w:r>
        <w:rPr>
          <w:rStyle w:val="8"/>
          <w:rFonts w:hint="eastAsia" w:ascii="仿宋_GB2312" w:eastAsia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sz w:val="32"/>
          <w:szCs w:val="32"/>
        </w:rPr>
        <w:t>；邮件需注明“食品健康新质生产力标杆案例申报（+单位名称）”；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1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3.申报要求：</w:t>
      </w:r>
      <w:r>
        <w:rPr>
          <w:rFonts w:hint="eastAsia" w:ascii="仿宋_GB2312" w:eastAsia="仿宋_GB2312"/>
          <w:sz w:val="32"/>
          <w:szCs w:val="32"/>
        </w:rPr>
        <w:t>务必在规定时间内完成案例申报。报送案例应以真实数据、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具体事实及成果为主，确保为原创，严禁抄袭作假。如发生相关法律纠纷，由报送单位自行承担。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1" w:firstLineChars="200"/>
        <w:jc w:val="both"/>
        <w:textAlignment w:val="auto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五、案例成果展示</w:t>
      </w:r>
    </w:p>
    <w:p>
      <w:pPr>
        <w:pStyle w:val="4"/>
        <w:spacing w:beforeAutospacing="0" w:afterAutospacing="0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案例经预审认定后，《中国企业报》集团将安排记者进行调研采访，并在《中国企业报》开辟“寻找食品健康企业新质生产力标杆”和“寻找食品健康企业新质生产力发展样本”专栏，进行宣传报道，并在《中国企业报》集团全媒体进行传播。</w:t>
      </w:r>
    </w:p>
    <w:p>
      <w:pPr>
        <w:pStyle w:val="4"/>
        <w:spacing w:beforeAutospacing="0" w:afterAutospacing="0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经认定后的标杆案例将在</w:t>
      </w:r>
      <w:r>
        <w:rPr>
          <w:rFonts w:hint="eastAsia" w:ascii="仿宋_GB2312" w:eastAsia="仿宋_GB2312"/>
          <w:sz w:val="32"/>
          <w:szCs w:val="32"/>
          <w:lang w:eastAsia="zh-Hans"/>
        </w:rPr>
        <w:t>中国企业报·</w:t>
      </w:r>
      <w:r>
        <w:rPr>
          <w:rFonts w:hint="eastAsia" w:ascii="仿宋_GB2312" w:eastAsia="仿宋_GB2312"/>
          <w:sz w:val="32"/>
          <w:szCs w:val="32"/>
        </w:rPr>
        <w:t>2025</w:t>
      </w:r>
      <w:r>
        <w:rPr>
          <w:rFonts w:hint="eastAsia" w:ascii="仿宋_GB2312" w:eastAsia="仿宋_GB2312"/>
          <w:sz w:val="32"/>
          <w:szCs w:val="32"/>
          <w:lang w:eastAsia="zh-Hans"/>
        </w:rPr>
        <w:t>年度新质生产力发展峰会</w:t>
      </w:r>
      <w:r>
        <w:rPr>
          <w:rFonts w:hint="eastAsia" w:ascii="仿宋_GB2312" w:eastAsia="仿宋_GB2312"/>
          <w:sz w:val="32"/>
          <w:szCs w:val="32"/>
        </w:rPr>
        <w:t>上发布，并将邀请重点案例单位代表现场发言分享经验。同时，还将邀请多家主流媒体进行报道，并采取走访调研、基地授牌、召开现场会等多种形式加大宣传，扩大案例的影响。</w:t>
      </w:r>
    </w:p>
    <w:p>
      <w:pPr>
        <w:ind w:firstLine="641" w:firstLineChars="2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六、其他说明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1.本次案例征集坚持公益原则，</w:t>
      </w:r>
      <w:r>
        <w:rPr>
          <w:rFonts w:hint="eastAsia" w:ascii="楷体_GB2312" w:hAnsi="宋体" w:eastAsia="楷体_GB2312"/>
          <w:b/>
          <w:bCs/>
          <w:sz w:val="32"/>
          <w:szCs w:val="32"/>
        </w:rPr>
        <w:t>不向申报单位收取任何费用</w:t>
      </w:r>
      <w:r>
        <w:rPr>
          <w:rFonts w:hint="eastAsia" w:ascii="仿宋_GB2312" w:hAnsi="宋体" w:eastAsia="仿宋_GB2312"/>
          <w:sz w:val="32"/>
          <w:szCs w:val="32"/>
        </w:rPr>
        <w:t xml:space="preserve">。 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2.本活动解释权归活动组织单位。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3.咨询联系信息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联系人：符老师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联系方式：15811007556</w:t>
      </w:r>
    </w:p>
    <w:p>
      <w:pPr>
        <w:ind w:firstLine="420" w:firstLineChars="200"/>
        <w:rPr>
          <w:rFonts w:hint="eastAsia" w:ascii="仿宋_GB2312" w:hAnsi="宋体" w:eastAsia="仿宋_GB2312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2418080</wp:posOffset>
            </wp:positionH>
            <wp:positionV relativeFrom="paragraph">
              <wp:posOffset>295275</wp:posOffset>
            </wp:positionV>
            <wp:extent cx="2003425" cy="1640205"/>
            <wp:effectExtent l="0" t="0" r="3175" b="1079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" w:lineRule="atLeast"/>
        <w:ind w:left="0" w:right="0" w:firstLine="0"/>
        <w:jc w:val="center"/>
        <w:textAlignment w:val="auto"/>
        <w:rPr>
          <w:rFonts w:hint="default" w:ascii="仿宋_GB2312" w:eastAsia="仿宋_GB2312"/>
          <w:b w:val="0"/>
          <w:bCs w:val="0"/>
          <w:sz w:val="32"/>
          <w:szCs w:val="32"/>
        </w:rPr>
      </w:pPr>
      <w:r>
        <w:rPr>
          <w:rFonts w:hint="default" w:ascii="仿宋_GB2312" w:eastAsia="仿宋_GB2312"/>
          <w:b/>
          <w:bCs/>
          <w:sz w:val="32"/>
          <w:szCs w:val="32"/>
        </w:rPr>
        <w:t xml:space="preserve">              </w:t>
      </w:r>
      <w:r>
        <w:rPr>
          <w:rFonts w:hint="default" w:ascii="仿宋_GB2312" w:eastAsia="仿宋_GB2312"/>
          <w:b w:val="0"/>
          <w:bCs w:val="0"/>
          <w:sz w:val="32"/>
          <w:szCs w:val="32"/>
        </w:rPr>
        <w:t xml:space="preserve"> 《中国企业报》集团</w:t>
      </w:r>
      <w:r>
        <w:rPr>
          <w:rFonts w:hint="default" w:ascii="仿宋_GB2312" w:eastAsia="仿宋_GB2312"/>
          <w:b w:val="0"/>
          <w:bCs w:val="0"/>
          <w:sz w:val="32"/>
          <w:szCs w:val="32"/>
        </w:rPr>
        <w:br w:type="textWrapping"/>
      </w:r>
      <w:r>
        <w:rPr>
          <w:rFonts w:hint="default" w:ascii="仿宋_GB2312" w:eastAsia="仿宋_GB2312"/>
          <w:b w:val="0"/>
          <w:bCs w:val="0"/>
          <w:sz w:val="32"/>
          <w:szCs w:val="32"/>
        </w:rPr>
        <w:t xml:space="preserve">                2025年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仿宋_GB2312" w:eastAsia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default" w:ascii="仿宋_GB2312" w:eastAsia="仿宋_GB2312"/>
          <w:b w:val="0"/>
          <w:bCs w:val="0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6</w:t>
    </w:r>
    <w:r>
      <w:rPr>
        <w:b/>
        <w:bCs/>
        <w:sz w:val="24"/>
        <w:szCs w:val="24"/>
      </w:rPr>
      <w:fldChar w:fldCharType="end"/>
    </w:r>
  </w:p>
  <w:p>
    <w:pPr>
      <w:pStyle w:val="2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7A21BD"/>
    <w:multiLevelType w:val="multilevel"/>
    <w:tmpl w:val="067A21BD"/>
    <w:lvl w:ilvl="0" w:tentative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2" w:hanging="440"/>
      </w:pPr>
    </w:lvl>
    <w:lvl w:ilvl="2" w:tentative="0">
      <w:start w:val="1"/>
      <w:numFmt w:val="lowerRoman"/>
      <w:lvlText w:val="%3."/>
      <w:lvlJc w:val="right"/>
      <w:pPr>
        <w:ind w:left="1882" w:hanging="440"/>
      </w:pPr>
    </w:lvl>
    <w:lvl w:ilvl="3" w:tentative="0">
      <w:start w:val="1"/>
      <w:numFmt w:val="decimal"/>
      <w:lvlText w:val="%4."/>
      <w:lvlJc w:val="left"/>
      <w:pPr>
        <w:ind w:left="2322" w:hanging="440"/>
      </w:pPr>
    </w:lvl>
    <w:lvl w:ilvl="4" w:tentative="0">
      <w:start w:val="1"/>
      <w:numFmt w:val="lowerLetter"/>
      <w:lvlText w:val="%5)"/>
      <w:lvlJc w:val="left"/>
      <w:pPr>
        <w:ind w:left="2762" w:hanging="440"/>
      </w:pPr>
    </w:lvl>
    <w:lvl w:ilvl="5" w:tentative="0">
      <w:start w:val="1"/>
      <w:numFmt w:val="lowerRoman"/>
      <w:lvlText w:val="%6."/>
      <w:lvlJc w:val="right"/>
      <w:pPr>
        <w:ind w:left="3202" w:hanging="440"/>
      </w:pPr>
    </w:lvl>
    <w:lvl w:ilvl="6" w:tentative="0">
      <w:start w:val="1"/>
      <w:numFmt w:val="decimal"/>
      <w:lvlText w:val="%7."/>
      <w:lvlJc w:val="left"/>
      <w:pPr>
        <w:ind w:left="3642" w:hanging="440"/>
      </w:pPr>
    </w:lvl>
    <w:lvl w:ilvl="7" w:tentative="0">
      <w:start w:val="1"/>
      <w:numFmt w:val="lowerLetter"/>
      <w:lvlText w:val="%8)"/>
      <w:lvlJc w:val="left"/>
      <w:pPr>
        <w:ind w:left="4082" w:hanging="440"/>
      </w:pPr>
    </w:lvl>
    <w:lvl w:ilvl="8" w:tentative="0">
      <w:start w:val="1"/>
      <w:numFmt w:val="lowerRoman"/>
      <w:lvlText w:val="%9."/>
      <w:lvlJc w:val="right"/>
      <w:pPr>
        <w:ind w:left="452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yMTA4N2Y4Y2UzYjhiNDFiYmFiMTc1N2FiOGExOTYifQ=="/>
  </w:docVars>
  <w:rsids>
    <w:rsidRoot w:val="000304F1"/>
    <w:rsid w:val="000304F1"/>
    <w:rsid w:val="001A2CF5"/>
    <w:rsid w:val="00253691"/>
    <w:rsid w:val="002A4B31"/>
    <w:rsid w:val="002C31EF"/>
    <w:rsid w:val="002F7B07"/>
    <w:rsid w:val="0033045A"/>
    <w:rsid w:val="003405A3"/>
    <w:rsid w:val="003D4FDF"/>
    <w:rsid w:val="003E15C6"/>
    <w:rsid w:val="003E6A52"/>
    <w:rsid w:val="00471FD6"/>
    <w:rsid w:val="005102E7"/>
    <w:rsid w:val="005720E7"/>
    <w:rsid w:val="00584A50"/>
    <w:rsid w:val="00615D05"/>
    <w:rsid w:val="00640FAF"/>
    <w:rsid w:val="00710791"/>
    <w:rsid w:val="00773285"/>
    <w:rsid w:val="007E4789"/>
    <w:rsid w:val="0081130E"/>
    <w:rsid w:val="00816755"/>
    <w:rsid w:val="0087199D"/>
    <w:rsid w:val="008768DE"/>
    <w:rsid w:val="00963772"/>
    <w:rsid w:val="00967195"/>
    <w:rsid w:val="009A3185"/>
    <w:rsid w:val="009C3E30"/>
    <w:rsid w:val="00A133AF"/>
    <w:rsid w:val="00A4506A"/>
    <w:rsid w:val="00A4757C"/>
    <w:rsid w:val="00A811F3"/>
    <w:rsid w:val="00A82617"/>
    <w:rsid w:val="00AA246B"/>
    <w:rsid w:val="00B14A1E"/>
    <w:rsid w:val="00B4271D"/>
    <w:rsid w:val="00CE64D9"/>
    <w:rsid w:val="00CF5080"/>
    <w:rsid w:val="00D23740"/>
    <w:rsid w:val="00D54CB2"/>
    <w:rsid w:val="00D943F3"/>
    <w:rsid w:val="00DD162E"/>
    <w:rsid w:val="00DE6184"/>
    <w:rsid w:val="00DF1C72"/>
    <w:rsid w:val="00E745FA"/>
    <w:rsid w:val="00F3206B"/>
    <w:rsid w:val="00F4650B"/>
    <w:rsid w:val="00FD4E72"/>
    <w:rsid w:val="14046C3F"/>
    <w:rsid w:val="1E4346F3"/>
    <w:rsid w:val="1FFF2F15"/>
    <w:rsid w:val="3D3F7C62"/>
    <w:rsid w:val="3DDF3FAB"/>
    <w:rsid w:val="3DF7AACC"/>
    <w:rsid w:val="3FBF2163"/>
    <w:rsid w:val="4B9A5577"/>
    <w:rsid w:val="5DEE6E5A"/>
    <w:rsid w:val="60AA02F0"/>
    <w:rsid w:val="67FCA447"/>
    <w:rsid w:val="696E72DE"/>
    <w:rsid w:val="6EFDF074"/>
    <w:rsid w:val="6F6B473E"/>
    <w:rsid w:val="77A6015C"/>
    <w:rsid w:val="77FD76B3"/>
    <w:rsid w:val="77FFF62A"/>
    <w:rsid w:val="7B75873F"/>
    <w:rsid w:val="7DDF0020"/>
    <w:rsid w:val="7DFB8331"/>
    <w:rsid w:val="7FE42DB3"/>
    <w:rsid w:val="7FF5E305"/>
    <w:rsid w:val="8BEFEE01"/>
    <w:rsid w:val="A5FF5B2C"/>
    <w:rsid w:val="A79FD5E8"/>
    <w:rsid w:val="BD79C11E"/>
    <w:rsid w:val="D0EAE45A"/>
    <w:rsid w:val="D37A1826"/>
    <w:rsid w:val="D7EF518C"/>
    <w:rsid w:val="DFFFDAB2"/>
    <w:rsid w:val="E5FF2974"/>
    <w:rsid w:val="E7D68F5C"/>
    <w:rsid w:val="E7FF9221"/>
    <w:rsid w:val="EBE98A2A"/>
    <w:rsid w:val="EEEC4BC6"/>
    <w:rsid w:val="F3FFACA2"/>
    <w:rsid w:val="F6DB1D13"/>
    <w:rsid w:val="F76AE04F"/>
    <w:rsid w:val="F9E76B6C"/>
    <w:rsid w:val="FD5A5ADF"/>
    <w:rsid w:val="FEF3ACA2"/>
    <w:rsid w:val="FF5A1C5C"/>
    <w:rsid w:val="FF5F0221"/>
    <w:rsid w:val="FF9DF78B"/>
    <w:rsid w:val="FFCF8DF7"/>
    <w:rsid w:val="FFFF8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rFonts w:eastAsia="等线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eastAsia="等线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</Words>
  <Characters>966</Characters>
  <Lines>8</Lines>
  <Paragraphs>2</Paragraphs>
  <TotalTime>2</TotalTime>
  <ScaleCrop>false</ScaleCrop>
  <LinksUpToDate>false</LinksUpToDate>
  <CharactersWithSpaces>1133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2025-03-08T11:28:00Z</dcterms:created>
  <dc:creator>hy l</dc:creator>
  <cp:lastModifiedBy>曹雅敏 北京和丰传媒</cp:lastModifiedBy>
  <dcterms:modified xsi:type="dcterms:W3CDTF">2025-03-20T13:48:04Z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8201118C68773846FDE5D76759ED3699_43</vt:lpwstr>
  </property>
</Properties>
</file>